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BA34E2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BA34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76605BFA" w14:textId="64004FA2" w:rsidR="00451C1D" w:rsidRPr="00CF21FF" w:rsidRDefault="00BA34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proofErr w:type="spellStart"/>
      <w:r w:rsidRPr="00BA34E2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BA34E2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Pr="00BA34E2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65005279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A34E2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Pr="00BA34E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A34E2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วิจัยและนวัตกรรมเพื่อความเป็นเลิศและมุ่งสู่ความเป็นสากล</w:t>
      </w:r>
    </w:p>
    <w:p w14:paraId="76605BFE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BA34E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BA34E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BA34E2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BA34E2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2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BA34E2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BA34E2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BA34E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BA34E2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BA34E2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BA34E2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………………………...………………………………………………………..……………………………………………….</w:t>
      </w:r>
    </w:p>
    <w:p w14:paraId="76605C42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BA34E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6F76A3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="00BA34E2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="00BA34E2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="00BA34E2"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A34E2"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="00BA34E2"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="00BA34E2"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="00BA34E2"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="00BA34E2"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BA34E2"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BA34E2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(International Standard Classification Of Education)</w:t>
      </w:r>
    </w:p>
    <w:p w14:paraId="76605C56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14:paraId="76605C57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14:paraId="76605C58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14:paraId="76605C59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training  without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0722Materials (glass, paper, plastic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0723Textiles (clothes, footwear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DF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(แสดงถึงบริบทของพื้นที่และระบุที่ไปที่มาของปัญหาและความต้องการของพื้นที่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ปัญหาสำคัญ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พัฒนาศักยภาพที่สำคัญ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BA34E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 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7D331501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</w:t>
            </w:r>
            <w:r w:rsidR="006F76A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</w:t>
            </w: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BA34E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1296E714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</w:t>
            </w:r>
            <w:r w:rsidR="006F76A3">
              <w:rPr>
                <w:rFonts w:ascii="TH SarabunPSK" w:eastAsia="Sarabu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BA34E2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BA34E2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BA34E2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BA34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BA34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BA34E2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BA34E2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BA34E2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5FFA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BA34E2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660600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7660600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600C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BA34E2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validated, now by relevant stakeholders in the area) </w:t>
            </w:r>
          </w:p>
          <w:p w14:paraId="7660601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environment and in co-operation with relevant stakeholders to gain initial feedback on potential impact) </w:t>
            </w:r>
          </w:p>
          <w:p w14:paraId="7660601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lastRenderedPageBreak/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(Refinement of project and / or solution and, if needed, retesting in relevant environment with relevant stakeholders) </w:t>
            </w:r>
          </w:p>
          <w:p w14:paraId="7660601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societal adaptation complete and qualified) </w:t>
            </w:r>
          </w:p>
          <w:p w14:paraId="7660601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BA34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BA34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การวิจัยทั้งในและต่างประเทศ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BA34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606020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22" w14:textId="77777777" w:rsidR="00451C1D" w:rsidRPr="00CF21FF" w:rsidRDefault="00BA34E2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9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BA34E2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C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F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0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BA3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ประเภทของผลผลิต</w:t>
            </w:r>
            <w:proofErr w:type="spellEnd"/>
          </w:p>
          <w:p w14:paraId="7660606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BA34E2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book) </w:t>
            </w:r>
          </w:p>
          <w:p w14:paraId="76606072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BA34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BA34E2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76606093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  <w:proofErr w:type="spellEnd"/>
          </w:p>
          <w:p w14:paraId="7660609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การติดตามการเคลื่อนย้ายและความก้าวหน้าใน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วิชาชีพของบุคลากรในโครงการด้านวิทยาศาสตร์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 โดยมีส่วนที่เกี่ยวข้องกับ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โครงการที่ได้รับงบประมาณจากกองทุนส่งเสริม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ประเภทตามที่กฎหมายลิขสิทธิ์ให้ความคุ้มครอง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หรืออาจจะทางอ้อมจากการดำเนินโครงการ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การดำเนินการอย่างใดอย่างหนึ่งเพื่อขับเคลื่อนการนำ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ผลงานวิจัยไปสู่การใช้ประโยชน์เชิงนโยบาย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BA34E2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หรือผลสำเร็จระยะยาวที่</w:t>
      </w:r>
      <w:proofErr w:type="spellStart"/>
      <w:r w:rsidRPr="00CF21FF">
        <w:rPr>
          <w:rFonts w:ascii="TH SarabunPSK" w:eastAsia="Sarabun" w:hAnsi="TH SarabunPSK" w:cs="TH SarabunPSK"/>
        </w:rPr>
        <w:t>เกิดขึ้นต่อเนื่องจากการเปลี่ยนแปลงของผลลัพธ์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 </w:t>
      </w:r>
    </w:p>
    <w:p w14:paraId="76606142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6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9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B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BA34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36207C"/>
    <w:rsid w:val="00451C1D"/>
    <w:rsid w:val="00673C46"/>
    <w:rsid w:val="006F76A3"/>
    <w:rsid w:val="007E0916"/>
    <w:rsid w:val="00BA34E2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7206</Words>
  <Characters>41075</Characters>
  <Application>Microsoft Office Word</Application>
  <DocSecurity>0</DocSecurity>
  <Lines>342</Lines>
  <Paragraphs>96</Paragraphs>
  <ScaleCrop>false</ScaleCrop>
  <Company/>
  <LinksUpToDate>false</LinksUpToDate>
  <CharactersWithSpaces>48185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TuiNui Arraphun</cp:lastModifiedBy>
  <cp:revision>2</cp:revision>
  <dcterms:created xsi:type="dcterms:W3CDTF">2023-06-15T04:45:00Z</dcterms:created>
  <dcterms:modified xsi:type="dcterms:W3CDTF">2023-06-15T04:45:00Z</dcterms:modified>
</cp:coreProperties>
</file>